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39C" w:rsidRDefault="005D739C" w:rsidP="005D739C">
      <w:pPr>
        <w:jc w:val="both"/>
        <w:rPr>
          <w:rFonts w:ascii="Arial" w:hAnsi="Arial"/>
          <w:sz w:val="24"/>
        </w:rPr>
      </w:pPr>
      <w:r>
        <w:rPr>
          <w:rFonts w:ascii="Arial" w:hAnsi="Arial"/>
          <w:sz w:val="24"/>
        </w:rPr>
        <w:t>Norme cogenti</w:t>
      </w:r>
    </w:p>
    <w:p w:rsidR="005D739C" w:rsidRDefault="005D739C" w:rsidP="005D739C">
      <w:pPr>
        <w:jc w:val="both"/>
        <w:rPr>
          <w:rFonts w:ascii="Arial" w:hAnsi="Arial"/>
          <w:sz w:val="24"/>
        </w:rPr>
      </w:pPr>
      <w:r w:rsidRPr="005D739C">
        <w:rPr>
          <w:rFonts w:ascii="Arial" w:hAnsi="Arial"/>
          <w:sz w:val="24"/>
        </w:rPr>
        <w:t>Si richiamano le disposizioni immediatamente cogenti e prevalenti del PPR contenute nelle Norme di Attuazione:</w:t>
      </w:r>
    </w:p>
    <w:p w:rsidR="00C37F19" w:rsidRPr="005D739C" w:rsidRDefault="00C37F19" w:rsidP="005D739C">
      <w:pPr>
        <w:jc w:val="both"/>
        <w:rPr>
          <w:rFonts w:ascii="Arial" w:hAnsi="Arial"/>
          <w:sz w:val="24"/>
        </w:rPr>
      </w:pPr>
    </w:p>
    <w:p w:rsidR="005D739C" w:rsidRPr="00C37F19" w:rsidRDefault="005D739C" w:rsidP="005D739C">
      <w:pPr>
        <w:numPr>
          <w:ilvl w:val="0"/>
          <w:numId w:val="1"/>
        </w:numPr>
        <w:ind w:left="426"/>
        <w:jc w:val="both"/>
        <w:rPr>
          <w:rFonts w:ascii="Arial" w:hAnsi="Arial"/>
          <w:b/>
          <w:sz w:val="24"/>
        </w:rPr>
      </w:pPr>
      <w:r w:rsidRPr="00C37F19">
        <w:rPr>
          <w:rFonts w:ascii="Arial" w:hAnsi="Arial"/>
          <w:b/>
          <w:sz w:val="24"/>
        </w:rPr>
        <w:t>all’art. 3 Ruolo del PPR e rapporti con i piani e i programmi territoriali, comma 9</w:t>
      </w:r>
    </w:p>
    <w:p w:rsidR="00C37F19" w:rsidRDefault="00C37F19" w:rsidP="00C37F19">
      <w:pPr>
        <w:ind w:left="426"/>
        <w:jc w:val="both"/>
        <w:rPr>
          <w:rFonts w:ascii="Arial" w:hAnsi="Arial"/>
          <w:sz w:val="24"/>
        </w:rPr>
      </w:pPr>
      <w:r w:rsidRPr="00C37F19">
        <w:rPr>
          <w:rFonts w:ascii="Arial" w:hAnsi="Arial"/>
          <w:sz w:val="24"/>
        </w:rPr>
        <w:t xml:space="preserve">[9]. Fino alla verifica o all’adeguamento al </w:t>
      </w:r>
      <w:proofErr w:type="spellStart"/>
      <w:r w:rsidRPr="00C37F19">
        <w:rPr>
          <w:rFonts w:ascii="Arial" w:hAnsi="Arial"/>
          <w:sz w:val="24"/>
        </w:rPr>
        <w:t>Ppr</w:t>
      </w:r>
      <w:proofErr w:type="spellEnd"/>
      <w:r w:rsidRPr="00C37F19">
        <w:rPr>
          <w:rFonts w:ascii="Arial" w:hAnsi="Arial"/>
          <w:sz w:val="24"/>
        </w:rPr>
        <w:t xml:space="preserve"> dei piani di cui ai commi 5, 6 e 7, si applicano le disposizioni in essi contenute, se non in contrasto con le prescrizioni del </w:t>
      </w:r>
      <w:proofErr w:type="spellStart"/>
      <w:r w:rsidRPr="00C37F19">
        <w:rPr>
          <w:rFonts w:ascii="Arial" w:hAnsi="Arial"/>
          <w:sz w:val="24"/>
        </w:rPr>
        <w:t>Ppr</w:t>
      </w:r>
      <w:proofErr w:type="spellEnd"/>
      <w:r w:rsidRPr="00C37F19">
        <w:rPr>
          <w:rFonts w:ascii="Arial" w:hAnsi="Arial"/>
          <w:sz w:val="24"/>
        </w:rPr>
        <w:t xml:space="preserve"> stesso.</w:t>
      </w:r>
    </w:p>
    <w:p w:rsidR="00C37F19" w:rsidRPr="005D739C" w:rsidRDefault="00C37F19" w:rsidP="00C37F19">
      <w:pPr>
        <w:ind w:left="426"/>
        <w:jc w:val="both"/>
        <w:rPr>
          <w:rFonts w:ascii="Arial" w:hAnsi="Arial"/>
          <w:sz w:val="24"/>
        </w:rPr>
      </w:pPr>
    </w:p>
    <w:p w:rsidR="005D739C" w:rsidRPr="003328D5" w:rsidRDefault="005D739C" w:rsidP="005D739C">
      <w:pPr>
        <w:numPr>
          <w:ilvl w:val="0"/>
          <w:numId w:val="1"/>
        </w:numPr>
        <w:ind w:left="426"/>
        <w:jc w:val="both"/>
        <w:rPr>
          <w:rFonts w:ascii="Arial" w:hAnsi="Arial"/>
          <w:b/>
          <w:sz w:val="24"/>
        </w:rPr>
      </w:pPr>
      <w:r w:rsidRPr="003328D5">
        <w:rPr>
          <w:rFonts w:ascii="Arial" w:hAnsi="Arial"/>
          <w:b/>
          <w:sz w:val="24"/>
        </w:rPr>
        <w:t>all’art.13 Aree di montagna, commi 11, 12 e 13</w:t>
      </w:r>
    </w:p>
    <w:p w:rsidR="003328D5" w:rsidRDefault="003328D5" w:rsidP="003328D5">
      <w:pPr>
        <w:ind w:left="426"/>
        <w:jc w:val="both"/>
        <w:rPr>
          <w:rFonts w:ascii="Arial" w:hAnsi="Arial"/>
          <w:sz w:val="24"/>
        </w:rPr>
      </w:pPr>
      <w:r w:rsidRPr="003328D5">
        <w:rPr>
          <w:rFonts w:ascii="Arial" w:hAnsi="Arial"/>
          <w:b/>
          <w:sz w:val="24"/>
        </w:rPr>
        <w:t>Prescrizioni</w:t>
      </w:r>
      <w:r w:rsidRPr="003328D5">
        <w:rPr>
          <w:rFonts w:ascii="Arial" w:hAnsi="Arial"/>
          <w:sz w:val="24"/>
        </w:rPr>
        <w:t xml:space="preserve"> </w:t>
      </w:r>
    </w:p>
    <w:p w:rsidR="003328D5" w:rsidRPr="003328D5" w:rsidRDefault="003328D5" w:rsidP="003328D5">
      <w:pPr>
        <w:ind w:left="426"/>
        <w:jc w:val="both"/>
        <w:rPr>
          <w:rFonts w:ascii="Arial" w:hAnsi="Arial"/>
          <w:sz w:val="24"/>
        </w:rPr>
      </w:pPr>
      <w:r w:rsidRPr="003328D5">
        <w:rPr>
          <w:rFonts w:ascii="Arial" w:hAnsi="Arial"/>
          <w:sz w:val="24"/>
        </w:rPr>
        <w:t xml:space="preserve">[11]. Nelle aree di montagna individuate nella Tavola P4: a. la viabilità a uso agricolo e forestale e le vie di esbosco eventualmente necessarie devono essere realizzate nel rispetto delle disposizioni della </w:t>
      </w:r>
      <w:proofErr w:type="spellStart"/>
      <w:r w:rsidRPr="003328D5">
        <w:rPr>
          <w:rFonts w:ascii="Arial" w:hAnsi="Arial"/>
          <w:sz w:val="24"/>
        </w:rPr>
        <w:t>l.r</w:t>
      </w:r>
      <w:proofErr w:type="spellEnd"/>
      <w:r w:rsidRPr="003328D5">
        <w:rPr>
          <w:rFonts w:ascii="Arial" w:hAnsi="Arial"/>
          <w:sz w:val="24"/>
        </w:rPr>
        <w:t xml:space="preserve">. 4/2009 e delle presenti norme; b. gli interventi per la produzione, la trasmissione e la distribuzione dell’energia, compresi gli impianti idroelettrici e i campi eolici, oltre ad applicare le norme di cui agli articoli 14 e 39 e del successivo comma 12, devono essere coerenti con la programmazione settoriale di livello regionale, nazionale e comunitario e con gli indirizzi approvati dalla Giunta regionale; la progettazione di tali interventi deve garantire il rispetto dei fattori caratterizzanti la componente montagna, ivi compresi le vette e i sistemi dei crinali montani; i progetti devono altresì prevedere specifiche misure di mitigazione e compensazione di tipo paesaggistico e ambientale, da realizzarsi in via prioritaria nei medesimi siti d’intervento e da eseguirsi contestualmente alla realizzazione degli interventi stessi. </w:t>
      </w:r>
    </w:p>
    <w:p w:rsidR="003328D5" w:rsidRPr="003328D5" w:rsidRDefault="003328D5" w:rsidP="003328D5">
      <w:pPr>
        <w:ind w:left="426"/>
        <w:jc w:val="both"/>
        <w:rPr>
          <w:rFonts w:ascii="Arial" w:hAnsi="Arial"/>
          <w:sz w:val="24"/>
        </w:rPr>
      </w:pPr>
      <w:r w:rsidRPr="003328D5">
        <w:rPr>
          <w:rFonts w:ascii="Arial" w:hAnsi="Arial"/>
          <w:sz w:val="24"/>
        </w:rPr>
        <w:t xml:space="preserve"> </w:t>
      </w:r>
    </w:p>
    <w:p w:rsidR="003328D5" w:rsidRPr="003328D5" w:rsidRDefault="003328D5" w:rsidP="003328D5">
      <w:pPr>
        <w:ind w:left="426"/>
        <w:jc w:val="both"/>
        <w:rPr>
          <w:rFonts w:ascii="Arial" w:hAnsi="Arial"/>
          <w:sz w:val="24"/>
        </w:rPr>
      </w:pPr>
      <w:r w:rsidRPr="003328D5">
        <w:rPr>
          <w:rFonts w:ascii="Arial" w:hAnsi="Arial"/>
          <w:sz w:val="24"/>
        </w:rPr>
        <w:t xml:space="preserve">[12]. Nelle aree di montagna individuate nella Tavola P4, nell’intorno di 50 metri per lato dalle vette e dai sistemi di crinali montani principali e secondari rappresentati nella Tavola stessa, è vietato ogni intervento di trasformazione eccedente quanto previsto alle lettere a., b., c., d., comma 1, articolo 3, del DPR n. 380 del 2001, fatti salvi gli interventi:  a. necessari per la difesa del suolo e la protezione civile e quelli di cui al comma 11, lettera a.;  b. relativi al completamento dell’abitato e all’ampliamento delle costruzioni preesistenti; c. necessari per la razionalizzazione e l’ammodernamento del sistema degli impianti sciistici, volti prioritariamente alla riduzione del numero dei tracciati degli impianti, o comunque alla mitigazione degli impatti paesaggistici pregressi, limitatamente alle strutture tecniche necessarie per la funzionalità degli impianti stessi;  d. relativi ad attività estrattive, a rilevanza almeno regionale, per la ricerca e la coltivazione di pietre ornamentali aventi carattere storico, o di minerali industriali che non sia sostenibile, dal punto di vista tecnico, economico, paesaggistico e ambientale reperire altrove; e. necessari per la produzione di energia, di cui al comma 11, lettera b., qualora sia dimostrato il rilevante interesse pubblico dell’impianto e l’intorno di 50 metri per lato dalle vette e dai sistemi di crinali in cui sorge l’impianto non ricada altresì in aree e immobili individuati ai sensi degli articoli 134, comma 1, lettere a. e c. e 157 del Codice; all’interno delle suddette aree e immobili sono consentiti, nell’intorno dei 50 metri per lato dalle vette e dai sistemi di crinali, esclusivamente i tracciati viari per la realizzazione degli impianti; per tali tracciati, al termine delle opere è previsto il ripristino integrale dei luoghi e, ove necessario, la trasformazione in tracciato di ridotta larghezza utilizzabile per la manutenzione degli impianti;  f. relativi alla rete di livello almeno regionale di trasmissione e distribuzione dell’energia elettrica, di cui al comma 11, lettera b., e alla diffusione delle telecomunicazioni, solo se volti alla riqualificazione o alla manutenzione di impianti già esistenti nella </w:t>
      </w:r>
      <w:r w:rsidRPr="003328D5">
        <w:rPr>
          <w:rFonts w:ascii="Arial" w:hAnsi="Arial"/>
          <w:sz w:val="24"/>
        </w:rPr>
        <w:lastRenderedPageBreak/>
        <w:t xml:space="preserve">medesima area di montagna o, per quelli nuovi, se necessari per l’attraversamento trasversale del versante nei punti a minore visibilità dall’intorno e, nel caso di impianti per la diffusione delle telecomunicazioni, se non localizzabili altrove, anche prevedendo eventuali accordi tra i soggetti gestori per contenere il numero dei relativi sostegni. Gli interventi di cui al presente comma possono essere consentiti esclusivamente qualora il rispetto delle condizioni sopra descritte sia dimostrato in sede progettuale e valutato in sede autorizzativa e non sussistano localizzazioni alternative di minor impatto al di fuori dell’intorno dei 50 metri per lato dalle vette e dai sistemi di crinali montani, la soluzione progettuale risulti la più idonea sotto il profilo dell’inserimento paesaggistico e le valutazioni tecniche espresse in sede di approvazione dei singoli progetti abbiano conseguito esito favorevole relativamente alle valutazioni di carattere ambientale e paesaggistico; i progetti devono altresì prevedere specifiche misure di mitigazione e compensazione di tipo paesaggistico da realizzarsi in via prioritaria nei medesimi siti d’intervento e da eseguirsi contestualmente alla realizzazione degli interventi stessi. </w:t>
      </w:r>
    </w:p>
    <w:p w:rsidR="003328D5" w:rsidRPr="003328D5" w:rsidRDefault="003328D5" w:rsidP="003328D5">
      <w:pPr>
        <w:ind w:left="426"/>
        <w:jc w:val="both"/>
        <w:rPr>
          <w:rFonts w:ascii="Arial" w:hAnsi="Arial"/>
          <w:sz w:val="24"/>
        </w:rPr>
      </w:pPr>
      <w:r w:rsidRPr="003328D5">
        <w:rPr>
          <w:rFonts w:ascii="Arial" w:hAnsi="Arial"/>
          <w:sz w:val="24"/>
        </w:rPr>
        <w:t xml:space="preserve"> </w:t>
      </w:r>
    </w:p>
    <w:p w:rsidR="003328D5" w:rsidRDefault="003328D5" w:rsidP="003328D5">
      <w:pPr>
        <w:ind w:left="426"/>
        <w:jc w:val="both"/>
        <w:rPr>
          <w:rFonts w:ascii="Arial" w:hAnsi="Arial"/>
          <w:sz w:val="24"/>
        </w:rPr>
      </w:pPr>
      <w:r w:rsidRPr="003328D5">
        <w:rPr>
          <w:rFonts w:ascii="Arial" w:hAnsi="Arial"/>
          <w:sz w:val="24"/>
        </w:rPr>
        <w:t>[13]. Nei territori coperti dai ghiacciai, individuati nella Tavola P2, sono consentiti esclusivamente interventi finalizzati: a. alla difesa dell’equilibrio idrogeologico ed ecologico; b. alla conoscenza e a un corretto rapporto con la natura, anche attraverso la promozione di specifiche attività scientifiche e divulgative; c. alla difesa del territorio nazionale e alla tutela delle popolazioni interessate.</w:t>
      </w:r>
    </w:p>
    <w:p w:rsidR="003328D5" w:rsidRPr="005D739C" w:rsidRDefault="003328D5" w:rsidP="003328D5">
      <w:pPr>
        <w:ind w:left="426"/>
        <w:jc w:val="both"/>
        <w:rPr>
          <w:rFonts w:ascii="Arial" w:hAnsi="Arial"/>
          <w:sz w:val="24"/>
        </w:rPr>
      </w:pPr>
    </w:p>
    <w:p w:rsidR="005D739C" w:rsidRDefault="005D739C" w:rsidP="005D739C">
      <w:pPr>
        <w:numPr>
          <w:ilvl w:val="0"/>
          <w:numId w:val="1"/>
        </w:numPr>
        <w:ind w:left="426"/>
        <w:jc w:val="both"/>
        <w:rPr>
          <w:rFonts w:ascii="Arial" w:hAnsi="Arial"/>
          <w:b/>
          <w:sz w:val="24"/>
        </w:rPr>
      </w:pPr>
      <w:r w:rsidRPr="003328D5">
        <w:rPr>
          <w:rFonts w:ascii="Arial" w:hAnsi="Arial"/>
          <w:b/>
          <w:sz w:val="24"/>
        </w:rPr>
        <w:t>all’art.14 Sistema idrografico, comma 11</w:t>
      </w:r>
    </w:p>
    <w:p w:rsidR="003328D5" w:rsidRPr="003328D5" w:rsidRDefault="003328D5" w:rsidP="003328D5">
      <w:pPr>
        <w:ind w:left="426"/>
        <w:jc w:val="both"/>
        <w:rPr>
          <w:rFonts w:ascii="Arial" w:hAnsi="Arial"/>
          <w:sz w:val="24"/>
        </w:rPr>
      </w:pPr>
      <w:r w:rsidRPr="003328D5">
        <w:rPr>
          <w:rFonts w:ascii="Arial" w:hAnsi="Arial"/>
          <w:sz w:val="24"/>
        </w:rPr>
        <w:t xml:space="preserve">[11]. All’interno delle zone fluviali “interne”, ferme restando le prescrizioni del PAI, nonché le indicazioni derivanti dagli altri strumenti della pianificazione e programmazione di bacino per quanto non attiene alla tutela del paesaggio, valgono le seguenti prescrizioni: a. le eventuali trasformazioni devono garantire la conservazione dei complessi vegetazionali naturali caratterizzanti il corso d’acqua, anche mediante misure mitigative e compensative atte alla ricostituzione della continuità ambientale del fiume e al miglioramento delle sue caratteristiche paesaggistiche e naturalistico-ecologiche, tenendo conto altresì degli indirizzi predisposti dall’Autorità di bacino del Po in attuazione del PAI e di quelli contenuti nella Direttiva Quadro Acque e nella Direttiva Alluvioni; b. la realizzazione degli impianti di produzione idroelettrica deve rispettare gli eventuali fattori caratterizzanti il corso d’acqua, quali cascate e salti di valore scenico, nonché l’eventuale presenza di contesti </w:t>
      </w:r>
      <w:proofErr w:type="spellStart"/>
      <w:r w:rsidRPr="003328D5">
        <w:rPr>
          <w:rFonts w:ascii="Arial" w:hAnsi="Arial"/>
          <w:sz w:val="24"/>
        </w:rPr>
        <w:t>storicoarchitettonici</w:t>
      </w:r>
      <w:proofErr w:type="spellEnd"/>
      <w:r w:rsidRPr="003328D5">
        <w:rPr>
          <w:rFonts w:ascii="Arial" w:hAnsi="Arial"/>
          <w:sz w:val="24"/>
        </w:rPr>
        <w:t xml:space="preserve"> di pregio ed essere coerente con i criteri localizzativi e gli indirizzi approvati dalla Giunta regionale.  </w:t>
      </w:r>
    </w:p>
    <w:p w:rsidR="003328D5" w:rsidRPr="003328D5" w:rsidRDefault="003328D5" w:rsidP="003328D5">
      <w:pPr>
        <w:ind w:left="426"/>
        <w:jc w:val="both"/>
        <w:rPr>
          <w:rFonts w:ascii="Arial" w:hAnsi="Arial"/>
          <w:b/>
          <w:sz w:val="24"/>
        </w:rPr>
      </w:pPr>
    </w:p>
    <w:p w:rsidR="005D739C" w:rsidRPr="003328D5" w:rsidRDefault="005D739C" w:rsidP="005D739C">
      <w:pPr>
        <w:numPr>
          <w:ilvl w:val="0"/>
          <w:numId w:val="1"/>
        </w:numPr>
        <w:ind w:left="426"/>
        <w:jc w:val="both"/>
        <w:rPr>
          <w:rFonts w:ascii="Arial" w:hAnsi="Arial"/>
          <w:b/>
          <w:sz w:val="24"/>
        </w:rPr>
      </w:pPr>
      <w:r w:rsidRPr="003328D5">
        <w:rPr>
          <w:rFonts w:ascii="Arial" w:hAnsi="Arial"/>
          <w:b/>
          <w:sz w:val="24"/>
        </w:rPr>
        <w:t>all’art.15 Laghi e territori contermini, commi 9 e 10</w:t>
      </w:r>
    </w:p>
    <w:p w:rsidR="003328D5" w:rsidRPr="003328D5" w:rsidRDefault="003328D5" w:rsidP="003328D5">
      <w:pPr>
        <w:ind w:left="426"/>
        <w:jc w:val="both"/>
        <w:rPr>
          <w:rFonts w:ascii="Arial" w:hAnsi="Arial"/>
          <w:sz w:val="24"/>
        </w:rPr>
      </w:pPr>
      <w:r w:rsidRPr="003328D5">
        <w:rPr>
          <w:rFonts w:ascii="Arial" w:hAnsi="Arial"/>
          <w:sz w:val="24"/>
        </w:rPr>
        <w:t xml:space="preserve">[9]. Nei laghi di cui al comma 4 la realizzazione di interventi relativi a nuovi porti, pontili o ad ampliamenti superiori al 20% della lunghezza dei moli o delle aree esterne esistenti di supporto alla funzionalità dei porti, è subordinata alla verifica della coerenza paesaggistica dell’intervento complessivo, prevedendo adeguati interventi e opere di integrazione con il paesaggio urbano e naturale circostante, da valutarsi in sede di procedure di VIA, ove prevista, e di autorizzazione paesaggistica.  </w:t>
      </w:r>
    </w:p>
    <w:p w:rsidR="003328D5" w:rsidRPr="003328D5" w:rsidRDefault="003328D5" w:rsidP="003328D5">
      <w:pPr>
        <w:ind w:left="426"/>
        <w:jc w:val="both"/>
        <w:rPr>
          <w:rFonts w:ascii="Arial" w:hAnsi="Arial"/>
          <w:sz w:val="24"/>
        </w:rPr>
      </w:pPr>
      <w:r w:rsidRPr="003328D5">
        <w:rPr>
          <w:rFonts w:ascii="Arial" w:hAnsi="Arial"/>
          <w:sz w:val="24"/>
        </w:rPr>
        <w:t xml:space="preserve"> </w:t>
      </w:r>
    </w:p>
    <w:p w:rsidR="003328D5" w:rsidRPr="003328D5" w:rsidRDefault="003328D5" w:rsidP="003328D5">
      <w:pPr>
        <w:ind w:left="426"/>
        <w:jc w:val="both"/>
        <w:rPr>
          <w:rFonts w:ascii="Arial" w:hAnsi="Arial"/>
          <w:sz w:val="24"/>
        </w:rPr>
      </w:pPr>
      <w:r w:rsidRPr="003328D5">
        <w:rPr>
          <w:rFonts w:ascii="Arial" w:hAnsi="Arial"/>
          <w:sz w:val="24"/>
        </w:rPr>
        <w:t xml:space="preserve">[10]. Nei territori contermini ai laghi di cui al comma 1, gli interventi di recupero e di riqualificazione degli ambiti urbanizzati o quelli di nuova costruzione devono essere realizzati secondo criteri progettuali di coerenza dimensionale e morfologica con i caratteri </w:t>
      </w:r>
      <w:r w:rsidRPr="003328D5">
        <w:rPr>
          <w:rFonts w:ascii="Arial" w:hAnsi="Arial"/>
          <w:sz w:val="24"/>
        </w:rPr>
        <w:lastRenderedPageBreak/>
        <w:t xml:space="preserve">tipologici del tessuto edificato storicamente consolidato e di ripristino e valorizzazione delle relazioni paesaggistiche del territorio interessato, che ne contraddistinguono la connotazione e l’identità; il rispetto di tale prescrizione deve trovare riscontro all’interno della relazione paesaggistica di cui al DPCM 12 dicembre 2005. </w:t>
      </w:r>
    </w:p>
    <w:p w:rsidR="003328D5" w:rsidRPr="005D739C" w:rsidRDefault="003328D5" w:rsidP="003328D5">
      <w:pPr>
        <w:ind w:left="426"/>
        <w:jc w:val="both"/>
        <w:rPr>
          <w:rFonts w:ascii="Arial" w:hAnsi="Arial"/>
          <w:sz w:val="24"/>
        </w:rPr>
      </w:pPr>
    </w:p>
    <w:p w:rsidR="005D739C" w:rsidRPr="00232B12" w:rsidRDefault="005D739C" w:rsidP="005D739C">
      <w:pPr>
        <w:numPr>
          <w:ilvl w:val="0"/>
          <w:numId w:val="1"/>
        </w:numPr>
        <w:ind w:left="426"/>
        <w:jc w:val="both"/>
        <w:rPr>
          <w:rFonts w:ascii="Arial" w:hAnsi="Arial"/>
          <w:b/>
          <w:sz w:val="24"/>
        </w:rPr>
      </w:pPr>
      <w:r w:rsidRPr="00232B12">
        <w:rPr>
          <w:rFonts w:ascii="Arial" w:hAnsi="Arial"/>
          <w:b/>
          <w:sz w:val="24"/>
        </w:rPr>
        <w:t>all’art.16 Territori coperti da foreste e da boschi, commi 11,12 e 13</w:t>
      </w:r>
    </w:p>
    <w:p w:rsidR="003328D5" w:rsidRPr="003328D5" w:rsidRDefault="003328D5" w:rsidP="003328D5">
      <w:pPr>
        <w:ind w:left="426"/>
        <w:jc w:val="both"/>
        <w:rPr>
          <w:rFonts w:ascii="Arial" w:hAnsi="Arial"/>
          <w:sz w:val="24"/>
        </w:rPr>
      </w:pPr>
      <w:r w:rsidRPr="003328D5">
        <w:rPr>
          <w:rFonts w:ascii="Arial" w:hAnsi="Arial"/>
          <w:sz w:val="24"/>
        </w:rPr>
        <w:t xml:space="preserve">[11]. I boschi identificati come habitat d’interesse comunitario ai sensi della Direttiva 92/43/CEE e che sono ubicati all’interno dei confini dei siti che fanno parte della Rete Natura 2000 costituiscono ambiti di particolare interesse e rilievo paesaggistico; all’interno di tali ambiti fino all’approvazione dei piani di gestione o delle misure di conservazione sito-specifiche si applicano le disposizioni di cui alle “Misure di conservazione per la tutela dei siti della Rete Natura 2000 in Piemonte” deliberate dalla Giunta regionale. </w:t>
      </w:r>
    </w:p>
    <w:p w:rsidR="003328D5" w:rsidRPr="003328D5" w:rsidRDefault="003328D5" w:rsidP="00232B12">
      <w:pPr>
        <w:ind w:left="426"/>
        <w:jc w:val="both"/>
        <w:rPr>
          <w:rFonts w:ascii="Arial" w:hAnsi="Arial"/>
          <w:sz w:val="24"/>
        </w:rPr>
      </w:pPr>
      <w:r w:rsidRPr="003328D5">
        <w:rPr>
          <w:rFonts w:ascii="Arial" w:hAnsi="Arial"/>
          <w:sz w:val="24"/>
        </w:rPr>
        <w:t xml:space="preserve"> </w:t>
      </w:r>
    </w:p>
    <w:p w:rsidR="003328D5" w:rsidRPr="003328D5" w:rsidRDefault="003328D5" w:rsidP="003328D5">
      <w:pPr>
        <w:ind w:left="426"/>
        <w:jc w:val="both"/>
        <w:rPr>
          <w:rFonts w:ascii="Arial" w:hAnsi="Arial"/>
          <w:sz w:val="24"/>
        </w:rPr>
      </w:pPr>
      <w:r w:rsidRPr="003328D5">
        <w:rPr>
          <w:rFonts w:ascii="Arial" w:hAnsi="Arial"/>
          <w:sz w:val="24"/>
        </w:rPr>
        <w:t xml:space="preserve">[12]. Nei territori di cui al comma 1 gli interventi che comportino la trasformazione delle superfici boscate devono privilegiare soluzioni che consentano un basso impatto visivo sull’immagine complessiva del paesaggio e la conservazione dei valori storico-culturali ed estetico-percettivi del contesto, tenendo conto anche della funzione di intervallo fra le colture agrarie e di contrasto all’omogeneizzazione del paesaggio rurale di pianura e di collina. </w:t>
      </w:r>
    </w:p>
    <w:p w:rsidR="003328D5" w:rsidRPr="003328D5" w:rsidRDefault="003328D5" w:rsidP="003328D5">
      <w:pPr>
        <w:ind w:left="426"/>
        <w:jc w:val="both"/>
        <w:rPr>
          <w:rFonts w:ascii="Arial" w:hAnsi="Arial"/>
          <w:sz w:val="24"/>
        </w:rPr>
      </w:pPr>
      <w:r w:rsidRPr="003328D5">
        <w:rPr>
          <w:rFonts w:ascii="Arial" w:hAnsi="Arial"/>
          <w:sz w:val="24"/>
        </w:rPr>
        <w:t xml:space="preserve"> </w:t>
      </w:r>
    </w:p>
    <w:p w:rsidR="003328D5" w:rsidRPr="003328D5" w:rsidRDefault="003328D5" w:rsidP="003328D5">
      <w:pPr>
        <w:ind w:left="426"/>
        <w:jc w:val="both"/>
        <w:rPr>
          <w:rFonts w:ascii="Arial" w:hAnsi="Arial"/>
          <w:sz w:val="24"/>
        </w:rPr>
      </w:pPr>
      <w:r w:rsidRPr="003328D5">
        <w:rPr>
          <w:rFonts w:ascii="Arial" w:hAnsi="Arial"/>
          <w:sz w:val="24"/>
        </w:rPr>
        <w:t xml:space="preserve">[13]. Nei territori di cui al comma 1, fatto salvo quanto previsto al comma 11 del presente articolo, per la gestione delle superfici forestali si applicano le disposizioni e gli strumenti di pianificazione di cui alla </w:t>
      </w:r>
      <w:proofErr w:type="spellStart"/>
      <w:r w:rsidRPr="003328D5">
        <w:rPr>
          <w:rFonts w:ascii="Arial" w:hAnsi="Arial"/>
          <w:sz w:val="24"/>
        </w:rPr>
        <w:t>l.r</w:t>
      </w:r>
      <w:proofErr w:type="spellEnd"/>
      <w:r w:rsidRPr="003328D5">
        <w:rPr>
          <w:rFonts w:ascii="Arial" w:hAnsi="Arial"/>
          <w:sz w:val="24"/>
        </w:rPr>
        <w:t xml:space="preserve">. 4/2009 e i relativi provvedimenti attuativi. </w:t>
      </w:r>
    </w:p>
    <w:p w:rsidR="003328D5" w:rsidRPr="005D739C" w:rsidRDefault="003328D5" w:rsidP="003328D5">
      <w:pPr>
        <w:ind w:left="426"/>
        <w:jc w:val="both"/>
        <w:rPr>
          <w:rFonts w:ascii="Arial" w:hAnsi="Arial"/>
          <w:sz w:val="24"/>
        </w:rPr>
      </w:pPr>
    </w:p>
    <w:p w:rsidR="005D739C" w:rsidRPr="00232B12" w:rsidRDefault="005D739C" w:rsidP="005D739C">
      <w:pPr>
        <w:numPr>
          <w:ilvl w:val="0"/>
          <w:numId w:val="1"/>
        </w:numPr>
        <w:ind w:left="426"/>
        <w:jc w:val="both"/>
        <w:rPr>
          <w:rFonts w:ascii="Arial" w:hAnsi="Arial"/>
          <w:b/>
          <w:sz w:val="24"/>
        </w:rPr>
      </w:pPr>
      <w:r w:rsidRPr="00232B12">
        <w:rPr>
          <w:rFonts w:ascii="Arial" w:hAnsi="Arial"/>
          <w:b/>
          <w:sz w:val="24"/>
        </w:rPr>
        <w:t>all’art.18 Aree naturali protette e altre aree di conservazione della biodiversità, commi 7 e 8</w:t>
      </w:r>
    </w:p>
    <w:p w:rsidR="00232B12" w:rsidRPr="00232B12" w:rsidRDefault="00232B12" w:rsidP="00232B12">
      <w:pPr>
        <w:ind w:left="426"/>
        <w:jc w:val="both"/>
        <w:rPr>
          <w:rFonts w:ascii="Arial" w:hAnsi="Arial"/>
          <w:sz w:val="24"/>
        </w:rPr>
      </w:pPr>
      <w:r w:rsidRPr="00232B12">
        <w:rPr>
          <w:rFonts w:ascii="Arial" w:hAnsi="Arial"/>
          <w:sz w:val="24"/>
        </w:rPr>
        <w:t xml:space="preserve">[7]. Fino alla verifica o all’adeguamento al </w:t>
      </w:r>
      <w:proofErr w:type="spellStart"/>
      <w:r w:rsidRPr="00232B12">
        <w:rPr>
          <w:rFonts w:ascii="Arial" w:hAnsi="Arial"/>
          <w:sz w:val="24"/>
        </w:rPr>
        <w:t>Ppr</w:t>
      </w:r>
      <w:proofErr w:type="spellEnd"/>
      <w:r w:rsidRPr="00232B12">
        <w:rPr>
          <w:rFonts w:ascii="Arial" w:hAnsi="Arial"/>
          <w:sz w:val="24"/>
        </w:rPr>
        <w:t xml:space="preserve"> di cui all’articolo 3, comma 9, nei parchi nazionali, regionali e provinciali dotati di piano d’area sono consentiti esclusivamente gli interventi conformi con i piani d’area vigenti, se non in contrasto con le prescrizioni del </w:t>
      </w:r>
      <w:proofErr w:type="spellStart"/>
      <w:r w:rsidRPr="00232B12">
        <w:rPr>
          <w:rFonts w:ascii="Arial" w:hAnsi="Arial"/>
          <w:sz w:val="24"/>
        </w:rPr>
        <w:t>Ppr</w:t>
      </w:r>
      <w:proofErr w:type="spellEnd"/>
      <w:r w:rsidRPr="00232B12">
        <w:rPr>
          <w:rFonts w:ascii="Arial" w:hAnsi="Arial"/>
          <w:sz w:val="24"/>
        </w:rPr>
        <w:t xml:space="preserve"> stesso.  </w:t>
      </w:r>
    </w:p>
    <w:p w:rsidR="00232B12" w:rsidRPr="00232B12" w:rsidRDefault="00232B12" w:rsidP="00232B12">
      <w:pPr>
        <w:ind w:left="426"/>
        <w:jc w:val="both"/>
        <w:rPr>
          <w:rFonts w:ascii="Arial" w:hAnsi="Arial"/>
          <w:sz w:val="24"/>
        </w:rPr>
      </w:pPr>
      <w:r w:rsidRPr="00232B12">
        <w:rPr>
          <w:rFonts w:ascii="Arial" w:hAnsi="Arial"/>
          <w:sz w:val="24"/>
        </w:rPr>
        <w:t xml:space="preserve"> </w:t>
      </w:r>
    </w:p>
    <w:p w:rsidR="00232B12" w:rsidRDefault="00232B12" w:rsidP="00232B12">
      <w:pPr>
        <w:ind w:left="426"/>
        <w:jc w:val="both"/>
        <w:rPr>
          <w:rFonts w:ascii="Arial" w:hAnsi="Arial"/>
          <w:sz w:val="24"/>
        </w:rPr>
      </w:pPr>
      <w:r w:rsidRPr="00232B12">
        <w:rPr>
          <w:rFonts w:ascii="Arial" w:hAnsi="Arial"/>
          <w:sz w:val="24"/>
        </w:rPr>
        <w:t xml:space="preserve">[8]. Nei parchi privi di piano d’area fino all’approvazione del piano d’area adeguato al </w:t>
      </w:r>
      <w:proofErr w:type="spellStart"/>
      <w:r w:rsidRPr="00232B12">
        <w:rPr>
          <w:rFonts w:ascii="Arial" w:hAnsi="Arial"/>
          <w:sz w:val="24"/>
        </w:rPr>
        <w:t>Ppr</w:t>
      </w:r>
      <w:proofErr w:type="spellEnd"/>
      <w:r w:rsidRPr="00232B12">
        <w:rPr>
          <w:rFonts w:ascii="Arial" w:hAnsi="Arial"/>
          <w:sz w:val="24"/>
        </w:rPr>
        <w:t xml:space="preserve"> sono cogenti le norme prescrittive di quest’ultimo e, per quanto non in contrasto, quelle contenute negli strumenti di governo del territorio vigenti alla data dell’approvazione del </w:t>
      </w:r>
      <w:proofErr w:type="spellStart"/>
      <w:r w:rsidRPr="00232B12">
        <w:rPr>
          <w:rFonts w:ascii="Arial" w:hAnsi="Arial"/>
          <w:sz w:val="24"/>
        </w:rPr>
        <w:t>Ppr</w:t>
      </w:r>
      <w:proofErr w:type="spellEnd"/>
      <w:r w:rsidRPr="00232B12">
        <w:rPr>
          <w:rFonts w:ascii="Arial" w:hAnsi="Arial"/>
          <w:sz w:val="24"/>
        </w:rPr>
        <w:t xml:space="preserve"> stesso, nel rispetto delle norme di tutela e di salvaguardia stabilite dalla legge istitutiva dell’area protetta e delle eventuali misure di conservazione della Rete Natura 2000.</w:t>
      </w:r>
    </w:p>
    <w:p w:rsidR="00DF7135" w:rsidRPr="005D739C" w:rsidRDefault="00DF7135" w:rsidP="00232B12">
      <w:pPr>
        <w:ind w:left="426"/>
        <w:jc w:val="both"/>
        <w:rPr>
          <w:rFonts w:ascii="Arial" w:hAnsi="Arial"/>
          <w:sz w:val="24"/>
        </w:rPr>
      </w:pPr>
    </w:p>
    <w:p w:rsidR="005D739C" w:rsidRPr="00DF7135" w:rsidRDefault="005D739C" w:rsidP="005D739C">
      <w:pPr>
        <w:numPr>
          <w:ilvl w:val="0"/>
          <w:numId w:val="1"/>
        </w:numPr>
        <w:ind w:left="426"/>
        <w:jc w:val="both"/>
        <w:rPr>
          <w:rFonts w:ascii="Arial" w:hAnsi="Arial"/>
          <w:b/>
          <w:sz w:val="24"/>
        </w:rPr>
      </w:pPr>
      <w:r w:rsidRPr="00DF7135">
        <w:rPr>
          <w:rFonts w:ascii="Arial" w:hAnsi="Arial"/>
          <w:b/>
          <w:sz w:val="24"/>
        </w:rPr>
        <w:t>all’art.23 Zone d’interesse archeologico, commi 8 e 9</w:t>
      </w:r>
    </w:p>
    <w:p w:rsidR="00DF7135" w:rsidRPr="00DF7135" w:rsidRDefault="00DF7135" w:rsidP="00DF7135">
      <w:pPr>
        <w:ind w:left="426"/>
        <w:jc w:val="both"/>
        <w:rPr>
          <w:rFonts w:ascii="Arial" w:hAnsi="Arial"/>
          <w:sz w:val="24"/>
        </w:rPr>
      </w:pPr>
      <w:r w:rsidRPr="00DF7135">
        <w:rPr>
          <w:rFonts w:ascii="Arial" w:hAnsi="Arial"/>
          <w:sz w:val="24"/>
        </w:rPr>
        <w:t xml:space="preserve">[8]. Nelle zone d’interesse archeologico di cui al comma 1, fatto salvo quanto previsto dalla Parte seconda del Codice, per quanto riguarda gli aspetti paesaggistici sono ammissibili, se compatibili con la conservazione della stratificazione archeologica presente:  </w:t>
      </w:r>
    </w:p>
    <w:p w:rsidR="00DF7135" w:rsidRPr="00DF7135" w:rsidRDefault="00DF7135" w:rsidP="00DF7135">
      <w:pPr>
        <w:ind w:left="426"/>
        <w:jc w:val="both"/>
        <w:rPr>
          <w:rFonts w:ascii="Arial" w:hAnsi="Arial"/>
          <w:sz w:val="24"/>
        </w:rPr>
      </w:pPr>
      <w:r w:rsidRPr="00DF7135">
        <w:rPr>
          <w:rFonts w:ascii="Arial" w:hAnsi="Arial"/>
          <w:sz w:val="24"/>
        </w:rPr>
        <w:t xml:space="preserve">a.  gli interventi sul patrimonio edilizio esistente, fino alla ristrutturazione edilizia; qualora siano previste opere di demolizione parziale o totale, la ricostruzione deve essere coerente con le caratteristiche del contesto paesaggistico circostante e con le finalità di tutela e valorizzazione dei luoghi nei quali i manufatti sono inseriti; b. gli eventuali interventi di ampliamento del patrimonio edilizio, purché </w:t>
      </w:r>
      <w:r w:rsidRPr="00DF7135">
        <w:rPr>
          <w:rFonts w:ascii="Arial" w:hAnsi="Arial"/>
          <w:sz w:val="24"/>
        </w:rPr>
        <w:lastRenderedPageBreak/>
        <w:t xml:space="preserve">siano finalizzati all'adeguamento strutturale o funzionale degli immobili; c. gli interventi di esclusivo adeguamento delle sezioni e dei tracciati viari esistenti, nel rispetto degli assi prospettici e della vegetazione d’alto fusto esistente; d. l’ampliamento di cave attive, solo se funzionali alla riqualificazione, al ripristino e all’adeguata sistemazione paesaggistica finale dei luoghi;  e. l’utilizzo di impianti per la produzione di energia da fonti rinnovabili di pertinenza degli edifici esistenti e integrati nelle relative strutture edilizie; f. la realizzazione di opere infrastrutturali a rete, pubbliche o di interesse pubblico, purché sia dimostrata l’assoluta necessità o il preminente interesse per la popolazione residente e non siano localizzabili altrove. </w:t>
      </w:r>
    </w:p>
    <w:p w:rsidR="00DF7135" w:rsidRPr="00DF7135" w:rsidRDefault="00DF7135" w:rsidP="00DF7135">
      <w:pPr>
        <w:ind w:left="426"/>
        <w:jc w:val="both"/>
        <w:rPr>
          <w:rFonts w:ascii="Arial" w:hAnsi="Arial"/>
          <w:sz w:val="24"/>
        </w:rPr>
      </w:pPr>
      <w:r w:rsidRPr="00DF7135">
        <w:rPr>
          <w:rFonts w:ascii="Arial" w:hAnsi="Arial"/>
          <w:sz w:val="24"/>
        </w:rPr>
        <w:t xml:space="preserve"> </w:t>
      </w:r>
    </w:p>
    <w:p w:rsidR="00DF7135" w:rsidRDefault="00DF7135" w:rsidP="00DF7135">
      <w:pPr>
        <w:ind w:left="426"/>
        <w:jc w:val="both"/>
        <w:rPr>
          <w:rFonts w:ascii="Arial" w:hAnsi="Arial"/>
          <w:sz w:val="24"/>
        </w:rPr>
      </w:pPr>
      <w:r w:rsidRPr="00DF7135">
        <w:rPr>
          <w:rFonts w:ascii="Arial" w:hAnsi="Arial"/>
          <w:sz w:val="24"/>
        </w:rPr>
        <w:t>[9]. Gli interventi di cui al comma 8, lettere a., b., e c. devono garantire il mantenimento, il recupero o il ripristino delle caratteristiche costruttive, delle tipologie, dei materiali, dei colori tradizionali del luogo.</w:t>
      </w:r>
    </w:p>
    <w:p w:rsidR="00DF7135" w:rsidRPr="005D739C" w:rsidRDefault="00DF7135" w:rsidP="00DF7135">
      <w:pPr>
        <w:ind w:left="426"/>
        <w:jc w:val="both"/>
        <w:rPr>
          <w:rFonts w:ascii="Arial" w:hAnsi="Arial"/>
          <w:sz w:val="24"/>
        </w:rPr>
      </w:pPr>
    </w:p>
    <w:p w:rsidR="005D739C" w:rsidRPr="00DF7135" w:rsidRDefault="005D739C" w:rsidP="005D739C">
      <w:pPr>
        <w:numPr>
          <w:ilvl w:val="0"/>
          <w:numId w:val="1"/>
        </w:numPr>
        <w:ind w:left="426"/>
        <w:jc w:val="both"/>
        <w:rPr>
          <w:rFonts w:ascii="Arial" w:hAnsi="Arial"/>
          <w:b/>
          <w:sz w:val="24"/>
        </w:rPr>
      </w:pPr>
      <w:r w:rsidRPr="00DF7135">
        <w:rPr>
          <w:rFonts w:ascii="Arial" w:hAnsi="Arial"/>
          <w:b/>
          <w:sz w:val="24"/>
        </w:rPr>
        <w:t xml:space="preserve">all’art.26 Ville, giardini e parchi, aree ed impianti per il </w:t>
      </w:r>
      <w:proofErr w:type="spellStart"/>
      <w:r w:rsidRPr="00DF7135">
        <w:rPr>
          <w:rFonts w:ascii="Arial" w:hAnsi="Arial"/>
          <w:b/>
          <w:sz w:val="24"/>
        </w:rPr>
        <w:t>loisir</w:t>
      </w:r>
      <w:proofErr w:type="spellEnd"/>
      <w:r w:rsidRPr="00DF7135">
        <w:rPr>
          <w:rFonts w:ascii="Arial" w:hAnsi="Arial"/>
          <w:b/>
          <w:sz w:val="24"/>
        </w:rPr>
        <w:t xml:space="preserve"> e il turismo, comma 4</w:t>
      </w:r>
    </w:p>
    <w:p w:rsidR="00DF7135" w:rsidRDefault="00DF7135" w:rsidP="00DF7135">
      <w:pPr>
        <w:ind w:left="426"/>
        <w:jc w:val="both"/>
        <w:rPr>
          <w:rFonts w:ascii="Arial" w:hAnsi="Arial"/>
          <w:sz w:val="24"/>
        </w:rPr>
      </w:pPr>
      <w:r w:rsidRPr="00DF7135">
        <w:rPr>
          <w:rFonts w:ascii="Arial" w:hAnsi="Arial"/>
          <w:sz w:val="24"/>
        </w:rPr>
        <w:t>[4]. Sulle ville, giardini e parchi individuati ai sensi dell’articolo 136, comma 1, lettera b. e dell’articolo 157 del Codice e rappresentati nella Tavola P2 e nel Catalogo di cui all’articolo 4, comma 1, lettera c., al fine della loro conservazione e valorizzazione: a. sono consentiti, anche in relazione a una diversa destinazione d’uso compatibile con le caratteristiche del bene, esclusivamente interventi coerenti con le valenze storiche e paesaggistiche del sistema della villa, del giardino e del parco e delle sue componenti (architettoniche, vegetali, idriche, topografiche e ambientali), che non interferiscano con prospettive, visuali e allineamenti consolidati e siano comunque realizzati nel rispetto dei principi descritti al comma 3; b. è consentita la sola demolizione di parti, elementi o strutture estranei alle caratteristiche storico-tipologiche del complesso di recente realizzazione, individuati a seguito di idonei studi e/o elaborati tecnico-scientifici.  Tali interventi per essere considerati ammissibili devono dimostrare, nella relazione paesaggistica di cui al DPCM 12 dicembre 2005, il rispetto del processo</w:t>
      </w:r>
      <w:r>
        <w:rPr>
          <w:rFonts w:ascii="Arial" w:hAnsi="Arial"/>
          <w:sz w:val="24"/>
        </w:rPr>
        <w:t xml:space="preserve"> </w:t>
      </w:r>
      <w:r w:rsidRPr="00DF7135">
        <w:rPr>
          <w:rFonts w:ascii="Arial" w:hAnsi="Arial"/>
          <w:sz w:val="24"/>
        </w:rPr>
        <w:t>storico che ha caratterizzato il complesso, mediante una lettura storico critica comparata, ed essere supportati da approfonditi studi e ricerche volti a precisarne gli aspetti tipologici e architettonici, nonché le condizioni da rispettare per garantirne il corretto inserimento nel contesto interessato.</w:t>
      </w:r>
    </w:p>
    <w:p w:rsidR="00DF7135" w:rsidRPr="005D739C" w:rsidRDefault="00DF7135" w:rsidP="00DF7135">
      <w:pPr>
        <w:ind w:left="426"/>
        <w:jc w:val="both"/>
        <w:rPr>
          <w:rFonts w:ascii="Arial" w:hAnsi="Arial"/>
          <w:sz w:val="24"/>
        </w:rPr>
      </w:pPr>
    </w:p>
    <w:p w:rsidR="005D739C" w:rsidRPr="00C37F19" w:rsidRDefault="005D739C" w:rsidP="005D739C">
      <w:pPr>
        <w:numPr>
          <w:ilvl w:val="0"/>
          <w:numId w:val="1"/>
        </w:numPr>
        <w:ind w:left="426"/>
        <w:jc w:val="both"/>
        <w:rPr>
          <w:rFonts w:ascii="Arial" w:hAnsi="Arial"/>
          <w:b/>
          <w:sz w:val="24"/>
        </w:rPr>
      </w:pPr>
      <w:r w:rsidRPr="00C37F19">
        <w:rPr>
          <w:rFonts w:ascii="Arial" w:hAnsi="Arial"/>
          <w:b/>
          <w:sz w:val="24"/>
        </w:rPr>
        <w:t>all’art.33 Luoghi ed elementi identitari, commi 5, 6, 13 e 19</w:t>
      </w:r>
    </w:p>
    <w:p w:rsidR="00DF7135" w:rsidRPr="00DF7135" w:rsidRDefault="00DF7135" w:rsidP="00DF7135">
      <w:pPr>
        <w:ind w:left="426"/>
        <w:jc w:val="both"/>
        <w:rPr>
          <w:rFonts w:ascii="Arial" w:hAnsi="Arial"/>
          <w:sz w:val="24"/>
        </w:rPr>
      </w:pPr>
      <w:r w:rsidRPr="00DF7135">
        <w:rPr>
          <w:rFonts w:ascii="Arial" w:hAnsi="Arial"/>
          <w:sz w:val="24"/>
        </w:rPr>
        <w:t xml:space="preserve">[5]. All’interno dei Siti (core zone) di cui al comma 2, lettera a., punti I e II:  a. gli eventuali interventi edilizi o di realizzazione delle infrastrutture sono finalizzati alla conservazione, valorizzazione e fruizione del sito; quelli eccedenti il restauro e risanamento conservativo sono subordinati alla predisposizione di studi e analisi estesi a un contesto paesaggistico adeguato, ai fini della verifica della loro compatibilità paesaggistica e ambientale anche con riferimento alla tutela delle visuali di cui al comma 4; tale verifica deve trovare puntuale ed esplicito riscontro negli elaborati progettuali che devono riportare contenuti analoghi a quelli previsti dalla relazione paesaggistica di cui al DPCM 12 dicembre 2005, ancorché gli interventi non siano ricompresi in ambiti tutelati ai sensi della Parte Terza del Codice;  b. in assenza di un progetto unitario che disciplini le caratteristiche dimensionali e di aspetto estetico della cartellonistica, da adottarsi d’intesa tra la Regione e il Ministero entro 24 mesi dall’approvazione del </w:t>
      </w:r>
      <w:proofErr w:type="spellStart"/>
      <w:r w:rsidRPr="00DF7135">
        <w:rPr>
          <w:rFonts w:ascii="Arial" w:hAnsi="Arial"/>
          <w:sz w:val="24"/>
        </w:rPr>
        <w:t>Ppr</w:t>
      </w:r>
      <w:proofErr w:type="spellEnd"/>
      <w:r w:rsidRPr="00DF7135">
        <w:rPr>
          <w:rFonts w:ascii="Arial" w:hAnsi="Arial"/>
          <w:sz w:val="24"/>
        </w:rPr>
        <w:t xml:space="preserve">, non è consentita la posa in opera di cartelli pubblicitari e di ogni altra simile attrezzatura, qualora comprometta la percezione dei luoghi; sono fatte salve </w:t>
      </w:r>
      <w:r w:rsidRPr="00DF7135">
        <w:rPr>
          <w:rFonts w:ascii="Arial" w:hAnsi="Arial"/>
          <w:sz w:val="24"/>
        </w:rPr>
        <w:lastRenderedPageBreak/>
        <w:t xml:space="preserve">le installazioni previste dalla normativa in materia di circolazione stradale e le indicazioni strettamente necessarie ai fini della fruibilità culturale e dei servizi pubblici essenziali.  </w:t>
      </w:r>
    </w:p>
    <w:p w:rsidR="00DF7135" w:rsidRPr="00DF7135" w:rsidRDefault="00DF7135" w:rsidP="00DF7135">
      <w:pPr>
        <w:ind w:left="426"/>
        <w:jc w:val="both"/>
        <w:rPr>
          <w:rFonts w:ascii="Arial" w:hAnsi="Arial"/>
          <w:sz w:val="24"/>
        </w:rPr>
      </w:pPr>
      <w:r w:rsidRPr="00DF7135">
        <w:rPr>
          <w:rFonts w:ascii="Arial" w:hAnsi="Arial"/>
          <w:sz w:val="24"/>
        </w:rPr>
        <w:t xml:space="preserve"> </w:t>
      </w:r>
    </w:p>
    <w:p w:rsidR="00DF7135" w:rsidRDefault="00DF7135" w:rsidP="00DF7135">
      <w:pPr>
        <w:ind w:left="426"/>
        <w:jc w:val="both"/>
        <w:rPr>
          <w:rFonts w:ascii="Arial" w:hAnsi="Arial"/>
          <w:sz w:val="24"/>
        </w:rPr>
      </w:pPr>
      <w:r w:rsidRPr="00DF7135">
        <w:rPr>
          <w:rFonts w:ascii="Arial" w:hAnsi="Arial"/>
          <w:sz w:val="24"/>
        </w:rPr>
        <w:t xml:space="preserve">[6]. Nei Siti (core zone) e nelle relative aree esterne di protezione (buffer zone) di cui al comma 2, lettera a., punto III, in aggiunta a quanto previsto dalle norme del </w:t>
      </w:r>
      <w:proofErr w:type="spellStart"/>
      <w:r w:rsidRPr="00DF7135">
        <w:rPr>
          <w:rFonts w:ascii="Arial" w:hAnsi="Arial"/>
          <w:sz w:val="24"/>
        </w:rPr>
        <w:t>Ppr</w:t>
      </w:r>
      <w:proofErr w:type="spellEnd"/>
      <w:r w:rsidRPr="00DF7135">
        <w:rPr>
          <w:rFonts w:ascii="Arial" w:hAnsi="Arial"/>
          <w:sz w:val="24"/>
        </w:rPr>
        <w:t xml:space="preserve">, si rimanda ai contenuti delle Linee guida operative approvate dalla Giunta regionale con DGR n. 26-2131 del 21 settembre 2015, come riferimento per gli strumenti urbanistici ed edilizi dei comuni ricadenti in tali ambiti, allo scopo di consolidare la rete di tutela esistente, e finalizzate a: a. mantenere l'uso agrario e in particolare vitivinicolo del territorio, in continuità con la tradizione storica colturale locale;  b. tutelare i luoghi del vino, quali i vigneti, i manufatti legati alla coltivazione e produzione viticola e alla vinificazione (cascine, </w:t>
      </w:r>
      <w:proofErr w:type="spellStart"/>
      <w:r w:rsidRPr="00DF7135">
        <w:rPr>
          <w:rFonts w:ascii="Arial" w:hAnsi="Arial"/>
          <w:sz w:val="24"/>
        </w:rPr>
        <w:t>ciabot</w:t>
      </w:r>
      <w:proofErr w:type="spellEnd"/>
      <w:r w:rsidRPr="00DF7135">
        <w:rPr>
          <w:rFonts w:ascii="Arial" w:hAnsi="Arial"/>
          <w:sz w:val="24"/>
        </w:rPr>
        <w:t>, cantine, ecc.), i luoghi e gli spazi pubblici per la commercializzazione dell'uva e del vino; c. conservare e valorizzare il patrimonio edilizio storico, rurale e urbano, e le trame insediative; d. tutelare i siti e i contesti di valore scenico ed estetico e le visuali, con particolare attenzione ai rapporti visivi fra buffer zone e core zone e alla conservazione dei profili paesaggistici e delle linee di crinale collinari; e. mantenere l'immagine articolata e plurale del paesaggio vitivinicolo piemontese; f. garantire un alto livello qualitativo degli interventi edilizi; g. riqualificare e valorizzare le aree compromesse, mitigando gli elementi di detrazione visiva, con particolare attenzione alla valorizzazione degli assi viari di accesso alla core zone.</w:t>
      </w:r>
    </w:p>
    <w:p w:rsidR="00C37F19" w:rsidRDefault="00C37F19" w:rsidP="00DF7135">
      <w:pPr>
        <w:ind w:left="426"/>
        <w:jc w:val="both"/>
        <w:rPr>
          <w:rFonts w:ascii="Arial" w:hAnsi="Arial"/>
          <w:sz w:val="24"/>
        </w:rPr>
      </w:pPr>
    </w:p>
    <w:p w:rsidR="00DF7135" w:rsidRDefault="001817A0" w:rsidP="00DF7135">
      <w:pPr>
        <w:ind w:left="426"/>
        <w:jc w:val="both"/>
        <w:rPr>
          <w:rFonts w:ascii="Arial" w:hAnsi="Arial"/>
          <w:sz w:val="24"/>
        </w:rPr>
      </w:pPr>
      <w:r w:rsidRPr="001817A0">
        <w:rPr>
          <w:rFonts w:ascii="Arial" w:hAnsi="Arial"/>
          <w:sz w:val="24"/>
        </w:rPr>
        <w:t>[13]. Per i Tenimenti storici di cui al comma 8, a seguito della dichiarazione di notevole interesse pubblico ai sensi dell’articolo 136, comma 1, lettera c. del Codice, vigono le prescrizioni d’uso contenute nella dichiarazione stessa, volte ad assicurare la conservazione dei valori espressi dal bene oggetto della tutela, come riportate nella DGR n. 37-227 del 4 agosto 2014.</w:t>
      </w:r>
    </w:p>
    <w:p w:rsidR="00C37F19" w:rsidRDefault="00C37F19" w:rsidP="00DF7135">
      <w:pPr>
        <w:ind w:left="426"/>
        <w:jc w:val="both"/>
        <w:rPr>
          <w:rFonts w:ascii="Arial" w:hAnsi="Arial"/>
          <w:sz w:val="24"/>
        </w:rPr>
      </w:pPr>
    </w:p>
    <w:p w:rsidR="001817A0" w:rsidRDefault="001817A0" w:rsidP="00DF7135">
      <w:pPr>
        <w:ind w:left="426"/>
        <w:jc w:val="both"/>
        <w:rPr>
          <w:rFonts w:ascii="Arial" w:hAnsi="Arial"/>
          <w:sz w:val="24"/>
        </w:rPr>
      </w:pPr>
      <w:r w:rsidRPr="001817A0">
        <w:rPr>
          <w:rFonts w:ascii="Arial" w:hAnsi="Arial"/>
          <w:sz w:val="24"/>
        </w:rPr>
        <w:t>[19]. Nell’ambito delle procedure di sdemanializzazione dei terreni gravati da uso civico, per i quali la cessazione della destinazione perpetua a favore della collettività incide sulla permanenza della tutela paesaggistica facendo venir meno un presupposto essenziale per il loro inserimento nella categoria di cui all’articolo 142, comma 1, lettera h. del Codice, deve essere verificata la sussistenza dell’interesse paesaggistico; se tale interesse sussiste, qualora la zona non sia già gravata da altre specifiche tutele paesaggistiche, si avvia la procedura per la dichiarazione di notevole interesse pubblico del territorio interessato.</w:t>
      </w:r>
    </w:p>
    <w:p w:rsidR="001817A0" w:rsidRPr="005D739C" w:rsidRDefault="001817A0" w:rsidP="00DF7135">
      <w:pPr>
        <w:ind w:left="426"/>
        <w:jc w:val="both"/>
        <w:rPr>
          <w:rFonts w:ascii="Arial" w:hAnsi="Arial"/>
          <w:sz w:val="24"/>
        </w:rPr>
      </w:pPr>
    </w:p>
    <w:p w:rsidR="005D739C" w:rsidRPr="00C37F19" w:rsidRDefault="005D739C" w:rsidP="001817A0">
      <w:pPr>
        <w:numPr>
          <w:ilvl w:val="0"/>
          <w:numId w:val="1"/>
        </w:numPr>
        <w:jc w:val="both"/>
        <w:rPr>
          <w:rFonts w:ascii="Arial" w:hAnsi="Arial"/>
          <w:b/>
          <w:sz w:val="24"/>
        </w:rPr>
      </w:pPr>
      <w:r w:rsidRPr="00C37F19">
        <w:rPr>
          <w:rFonts w:ascii="Arial" w:hAnsi="Arial"/>
          <w:b/>
          <w:sz w:val="24"/>
        </w:rPr>
        <w:t>all’art.39</w:t>
      </w:r>
      <w:r w:rsidR="001817A0" w:rsidRPr="00C37F19">
        <w:rPr>
          <w:rFonts w:ascii="Arial" w:hAnsi="Arial"/>
          <w:b/>
          <w:sz w:val="24"/>
        </w:rPr>
        <w:t xml:space="preserve"> “Insule” specializzate e complessi infrastrutturali</w:t>
      </w:r>
      <w:r w:rsidRPr="00C37F19">
        <w:rPr>
          <w:rFonts w:ascii="Arial" w:hAnsi="Arial"/>
          <w:b/>
          <w:sz w:val="24"/>
        </w:rPr>
        <w:t>, comma 9</w:t>
      </w:r>
    </w:p>
    <w:p w:rsidR="001817A0" w:rsidRDefault="001817A0" w:rsidP="001817A0">
      <w:pPr>
        <w:ind w:left="426"/>
        <w:jc w:val="both"/>
        <w:rPr>
          <w:rFonts w:ascii="Arial" w:hAnsi="Arial"/>
          <w:sz w:val="24"/>
        </w:rPr>
      </w:pPr>
      <w:r w:rsidRPr="001817A0">
        <w:rPr>
          <w:rFonts w:ascii="Arial" w:hAnsi="Arial"/>
          <w:sz w:val="24"/>
        </w:rPr>
        <w:t>[9]. La realizzazione di nuovi impianti per la produzione di energia, compresi quelli da fonti rinnovabili, deve essere coerente, oltre che con le previsioni delle presenti norme, con i criteri localizzativi e qualitativi definiti a livello nazionale e regionale.</w:t>
      </w:r>
    </w:p>
    <w:p w:rsidR="001817A0" w:rsidRPr="005D739C" w:rsidRDefault="001817A0" w:rsidP="001817A0">
      <w:pPr>
        <w:ind w:left="426"/>
        <w:jc w:val="both"/>
        <w:rPr>
          <w:rFonts w:ascii="Arial" w:hAnsi="Arial"/>
          <w:sz w:val="24"/>
        </w:rPr>
      </w:pPr>
    </w:p>
    <w:p w:rsidR="005D739C" w:rsidRPr="00C37F19" w:rsidRDefault="005D739C" w:rsidP="00C37F19">
      <w:pPr>
        <w:numPr>
          <w:ilvl w:val="0"/>
          <w:numId w:val="1"/>
        </w:numPr>
        <w:jc w:val="both"/>
        <w:rPr>
          <w:rFonts w:ascii="Arial" w:hAnsi="Arial"/>
          <w:b/>
          <w:sz w:val="24"/>
        </w:rPr>
      </w:pPr>
      <w:bookmarkStart w:id="0" w:name="_GoBack"/>
      <w:bookmarkEnd w:id="0"/>
      <w:r w:rsidRPr="00C37F19">
        <w:rPr>
          <w:rFonts w:ascii="Arial" w:hAnsi="Arial"/>
          <w:b/>
          <w:sz w:val="24"/>
        </w:rPr>
        <w:t>all’art.46 Adeguamento al PPR, commi 6, 7, 8 e 9</w:t>
      </w:r>
    </w:p>
    <w:p w:rsidR="00C37F19" w:rsidRPr="00C37F19" w:rsidRDefault="00C37F19" w:rsidP="00C37F19">
      <w:pPr>
        <w:ind w:left="426"/>
        <w:jc w:val="both"/>
        <w:rPr>
          <w:rFonts w:ascii="Arial" w:hAnsi="Arial"/>
          <w:sz w:val="24"/>
        </w:rPr>
      </w:pPr>
      <w:r w:rsidRPr="00C37F19">
        <w:rPr>
          <w:rFonts w:ascii="Arial" w:hAnsi="Arial"/>
          <w:sz w:val="24"/>
        </w:rPr>
        <w:t xml:space="preserve">[6]. Dall’approvazione del </w:t>
      </w:r>
      <w:proofErr w:type="spellStart"/>
      <w:r w:rsidRPr="00C37F19">
        <w:rPr>
          <w:rFonts w:ascii="Arial" w:hAnsi="Arial"/>
          <w:sz w:val="24"/>
        </w:rPr>
        <w:t>Ppr</w:t>
      </w:r>
      <w:proofErr w:type="spellEnd"/>
      <w:r w:rsidRPr="00C37F19">
        <w:rPr>
          <w:rFonts w:ascii="Arial" w:hAnsi="Arial"/>
          <w:sz w:val="24"/>
        </w:rPr>
        <w:t xml:space="preserve"> le province, la città metropolitana e gli enti gestori delle aree naturali protette non possono adottare nuovi strumenti di pianificazione, varianti generali, o revisioni al proprio strumento che non siano comprensive dell’adeguamento al </w:t>
      </w:r>
      <w:proofErr w:type="spellStart"/>
      <w:r w:rsidRPr="00C37F19">
        <w:rPr>
          <w:rFonts w:ascii="Arial" w:hAnsi="Arial"/>
          <w:sz w:val="24"/>
        </w:rPr>
        <w:t>Ppr</w:t>
      </w:r>
      <w:proofErr w:type="spellEnd"/>
      <w:r w:rsidRPr="00C37F19">
        <w:rPr>
          <w:rFonts w:ascii="Arial" w:hAnsi="Arial"/>
          <w:sz w:val="24"/>
        </w:rPr>
        <w:t xml:space="preserve"> stesso. </w:t>
      </w:r>
    </w:p>
    <w:p w:rsidR="00C37F19" w:rsidRPr="00C37F19" w:rsidRDefault="00C37F19" w:rsidP="00C37F19">
      <w:pPr>
        <w:ind w:left="66"/>
        <w:jc w:val="both"/>
        <w:rPr>
          <w:rFonts w:ascii="Arial" w:hAnsi="Arial"/>
          <w:sz w:val="24"/>
        </w:rPr>
      </w:pPr>
      <w:r w:rsidRPr="00C37F19">
        <w:rPr>
          <w:rFonts w:ascii="Arial" w:hAnsi="Arial"/>
          <w:sz w:val="24"/>
        </w:rPr>
        <w:t xml:space="preserve"> </w:t>
      </w:r>
    </w:p>
    <w:p w:rsidR="00C37F19" w:rsidRPr="00C37F19" w:rsidRDefault="00C37F19" w:rsidP="00C37F19">
      <w:pPr>
        <w:ind w:left="426"/>
        <w:jc w:val="both"/>
        <w:rPr>
          <w:rFonts w:ascii="Arial" w:hAnsi="Arial"/>
          <w:sz w:val="24"/>
        </w:rPr>
      </w:pPr>
      <w:r w:rsidRPr="00C37F19">
        <w:rPr>
          <w:rFonts w:ascii="Arial" w:hAnsi="Arial"/>
          <w:sz w:val="24"/>
        </w:rPr>
        <w:lastRenderedPageBreak/>
        <w:t xml:space="preserve">[7]. Dall’approvazione del </w:t>
      </w:r>
      <w:proofErr w:type="spellStart"/>
      <w:r w:rsidRPr="00C37F19">
        <w:rPr>
          <w:rFonts w:ascii="Arial" w:hAnsi="Arial"/>
          <w:sz w:val="24"/>
        </w:rPr>
        <w:t>Ppr</w:t>
      </w:r>
      <w:proofErr w:type="spellEnd"/>
      <w:r w:rsidRPr="00C37F19">
        <w:rPr>
          <w:rFonts w:ascii="Arial" w:hAnsi="Arial"/>
          <w:sz w:val="24"/>
        </w:rPr>
        <w:t xml:space="preserve"> i comuni o le loro forme associative che svolgono la funzione in materia di pianificazione urbanistica non possono adottare varianti generali o revisioni ai propri strumenti urbanistici che non siano comprensive dell’adeguamento al </w:t>
      </w:r>
      <w:proofErr w:type="spellStart"/>
      <w:r w:rsidRPr="00C37F19">
        <w:rPr>
          <w:rFonts w:ascii="Arial" w:hAnsi="Arial"/>
          <w:sz w:val="24"/>
        </w:rPr>
        <w:t>Ppr</w:t>
      </w:r>
      <w:proofErr w:type="spellEnd"/>
      <w:r w:rsidRPr="00C37F19">
        <w:rPr>
          <w:rFonts w:ascii="Arial" w:hAnsi="Arial"/>
          <w:sz w:val="24"/>
        </w:rPr>
        <w:t xml:space="preserve"> stesso. </w:t>
      </w:r>
    </w:p>
    <w:p w:rsidR="00C37F19" w:rsidRPr="00C37F19" w:rsidRDefault="00C37F19" w:rsidP="00C37F19">
      <w:pPr>
        <w:ind w:left="66"/>
        <w:jc w:val="both"/>
        <w:rPr>
          <w:rFonts w:ascii="Arial" w:hAnsi="Arial"/>
          <w:sz w:val="24"/>
        </w:rPr>
      </w:pPr>
      <w:r w:rsidRPr="00C37F19">
        <w:rPr>
          <w:rFonts w:ascii="Arial" w:hAnsi="Arial"/>
          <w:sz w:val="24"/>
        </w:rPr>
        <w:t xml:space="preserve"> </w:t>
      </w:r>
    </w:p>
    <w:p w:rsidR="00C37F19" w:rsidRPr="00C37F19" w:rsidRDefault="00C37F19" w:rsidP="00C37F19">
      <w:pPr>
        <w:ind w:left="426"/>
        <w:jc w:val="both"/>
        <w:rPr>
          <w:rFonts w:ascii="Arial" w:hAnsi="Arial"/>
          <w:sz w:val="24"/>
        </w:rPr>
      </w:pPr>
      <w:r w:rsidRPr="00C37F19">
        <w:rPr>
          <w:rFonts w:ascii="Arial" w:hAnsi="Arial"/>
          <w:sz w:val="24"/>
        </w:rPr>
        <w:t xml:space="preserve">[8]. Dall’adozione del </w:t>
      </w:r>
      <w:proofErr w:type="spellStart"/>
      <w:r w:rsidRPr="00C37F19">
        <w:rPr>
          <w:rFonts w:ascii="Arial" w:hAnsi="Arial"/>
          <w:sz w:val="24"/>
        </w:rPr>
        <w:t>Ppr</w:t>
      </w:r>
      <w:proofErr w:type="spellEnd"/>
      <w:r w:rsidRPr="00C37F19">
        <w:rPr>
          <w:rFonts w:ascii="Arial" w:hAnsi="Arial"/>
          <w:sz w:val="24"/>
        </w:rPr>
        <w:t xml:space="preserve">, ai sensi dell’articolo 143, comma 9 del Codice non sono consentiti sugli immobili e nelle aree di cui all’articolo 134 interventi in contrasto con le prescrizioni e le specifiche prescrizioni d’uso contenute nel </w:t>
      </w:r>
      <w:proofErr w:type="spellStart"/>
      <w:r w:rsidRPr="00C37F19">
        <w:rPr>
          <w:rFonts w:ascii="Arial" w:hAnsi="Arial"/>
          <w:sz w:val="24"/>
        </w:rPr>
        <w:t>Ppr</w:t>
      </w:r>
      <w:proofErr w:type="spellEnd"/>
      <w:r w:rsidRPr="00C37F19">
        <w:rPr>
          <w:rFonts w:ascii="Arial" w:hAnsi="Arial"/>
          <w:sz w:val="24"/>
        </w:rPr>
        <w:t xml:space="preserve"> stesso, pertanto esse prevalgono sulle disposizioni incompatibili contenute nella vigente strumentazione territoriale, urbanistica e settoriale. Dall’approvazione del </w:t>
      </w:r>
      <w:proofErr w:type="spellStart"/>
      <w:r w:rsidRPr="00C37F19">
        <w:rPr>
          <w:rFonts w:ascii="Arial" w:hAnsi="Arial"/>
          <w:sz w:val="24"/>
        </w:rPr>
        <w:t>Ppr</w:t>
      </w:r>
      <w:proofErr w:type="spellEnd"/>
      <w:r w:rsidRPr="00C37F19">
        <w:rPr>
          <w:rFonts w:ascii="Arial" w:hAnsi="Arial"/>
          <w:sz w:val="24"/>
        </w:rPr>
        <w:t xml:space="preserve"> le previsioni come definite all’articolo 2, comma 4, relative anche alle componenti, sono immediatamente prevalenti sulle previsioni degli strumenti di pianificazione eventualmente difformi.  </w:t>
      </w:r>
    </w:p>
    <w:p w:rsidR="00C37F19" w:rsidRPr="00C37F19" w:rsidRDefault="00C37F19" w:rsidP="00C37F19">
      <w:pPr>
        <w:ind w:left="66"/>
        <w:jc w:val="both"/>
        <w:rPr>
          <w:rFonts w:ascii="Arial" w:hAnsi="Arial"/>
          <w:sz w:val="24"/>
        </w:rPr>
      </w:pPr>
      <w:r w:rsidRPr="00C37F19">
        <w:rPr>
          <w:rFonts w:ascii="Arial" w:hAnsi="Arial"/>
          <w:sz w:val="24"/>
        </w:rPr>
        <w:t xml:space="preserve"> </w:t>
      </w:r>
    </w:p>
    <w:p w:rsidR="00C37F19" w:rsidRPr="00C37F19" w:rsidRDefault="00C37F19" w:rsidP="00C37F19">
      <w:pPr>
        <w:ind w:left="426"/>
        <w:jc w:val="both"/>
        <w:rPr>
          <w:rFonts w:ascii="Arial" w:hAnsi="Arial"/>
          <w:sz w:val="24"/>
        </w:rPr>
      </w:pPr>
      <w:r w:rsidRPr="00C37F19">
        <w:rPr>
          <w:rFonts w:ascii="Arial" w:hAnsi="Arial"/>
          <w:sz w:val="24"/>
        </w:rPr>
        <w:t xml:space="preserve">[9]. Dall’approvazione del </w:t>
      </w:r>
      <w:proofErr w:type="spellStart"/>
      <w:r w:rsidRPr="00C37F19">
        <w:rPr>
          <w:rFonts w:ascii="Arial" w:hAnsi="Arial"/>
          <w:sz w:val="24"/>
        </w:rPr>
        <w:t>Ppr</w:t>
      </w:r>
      <w:proofErr w:type="spellEnd"/>
      <w:r w:rsidRPr="00C37F19">
        <w:rPr>
          <w:rFonts w:ascii="Arial" w:hAnsi="Arial"/>
          <w:sz w:val="24"/>
        </w:rPr>
        <w:t xml:space="preserve">, anche in assenza dell’adeguamento di cui ai commi 1 e 2 del presente articolo, ogni variante apportata agli strumenti di pianificazione, limitatamente alle aree da essa interessate, deve essere coerente e rispettare le norme del </w:t>
      </w:r>
      <w:proofErr w:type="spellStart"/>
      <w:r w:rsidRPr="00C37F19">
        <w:rPr>
          <w:rFonts w:ascii="Arial" w:hAnsi="Arial"/>
          <w:sz w:val="24"/>
        </w:rPr>
        <w:t>Ppr</w:t>
      </w:r>
      <w:proofErr w:type="spellEnd"/>
      <w:r w:rsidRPr="00C37F19">
        <w:rPr>
          <w:rFonts w:ascii="Arial" w:hAnsi="Arial"/>
          <w:sz w:val="24"/>
        </w:rPr>
        <w:t xml:space="preserve"> stesso. </w:t>
      </w:r>
    </w:p>
    <w:p w:rsidR="00C37F19" w:rsidRPr="00C37F19" w:rsidRDefault="00C37F19" w:rsidP="00C37F19">
      <w:pPr>
        <w:ind w:left="66"/>
        <w:jc w:val="both"/>
        <w:rPr>
          <w:rFonts w:ascii="Arial" w:hAnsi="Arial"/>
          <w:sz w:val="24"/>
        </w:rPr>
      </w:pPr>
      <w:r w:rsidRPr="00C37F19">
        <w:rPr>
          <w:rFonts w:ascii="Arial" w:hAnsi="Arial"/>
          <w:sz w:val="24"/>
        </w:rPr>
        <w:t xml:space="preserve"> </w:t>
      </w:r>
    </w:p>
    <w:p w:rsidR="00014770" w:rsidRPr="005D739C" w:rsidRDefault="00014770"/>
    <w:sectPr w:rsidR="00014770" w:rsidRPr="005D739C" w:rsidSect="005D739C">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10726"/>
    <w:multiLevelType w:val="hybridMultilevel"/>
    <w:tmpl w:val="E3A242F8"/>
    <w:lvl w:ilvl="0" w:tplc="7FF0AC3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9C"/>
    <w:rsid w:val="00014770"/>
    <w:rsid w:val="001817A0"/>
    <w:rsid w:val="00232B12"/>
    <w:rsid w:val="003328D5"/>
    <w:rsid w:val="005D739C"/>
    <w:rsid w:val="00C37F19"/>
    <w:rsid w:val="00DF7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3289"/>
  <w15:chartTrackingRefBased/>
  <w15:docId w15:val="{9DA304AF-79F1-4AC8-B9C2-4C4274CA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73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2849</Words>
  <Characters>16243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Vergerio</dc:creator>
  <cp:keywords/>
  <dc:description/>
  <cp:lastModifiedBy>Mauro Vergerio</cp:lastModifiedBy>
  <cp:revision>5</cp:revision>
  <dcterms:created xsi:type="dcterms:W3CDTF">2018-02-03T14:39:00Z</dcterms:created>
  <dcterms:modified xsi:type="dcterms:W3CDTF">2018-02-05T10:17:00Z</dcterms:modified>
</cp:coreProperties>
</file>